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10AD" w14:textId="421A13CF" w:rsidR="00EA1C3E" w:rsidRDefault="006218C0">
      <w:pPr>
        <w:spacing w:line="276" w:lineRule="auto"/>
        <w:jc w:val="right"/>
        <w:rPr>
          <w:rFonts w:cstheme="minorHAnsi"/>
          <w:b/>
          <w:bCs/>
          <w:sz w:val="24"/>
          <w:szCs w:val="24"/>
        </w:rPr>
      </w:pPr>
      <w:r>
        <w:rPr>
          <w:b/>
          <w:bCs/>
          <w:sz w:val="24"/>
          <w:szCs w:val="24"/>
        </w:rPr>
        <w:t>ANNEX 1</w:t>
      </w:r>
    </w:p>
    <w:p w14:paraId="08499E09" w14:textId="77777777" w:rsidR="00EA1C3E" w:rsidRDefault="006218C0">
      <w:pPr>
        <w:spacing w:line="276" w:lineRule="auto"/>
        <w:jc w:val="center"/>
        <w:rPr>
          <w:rFonts w:cstheme="minorHAnsi"/>
          <w:sz w:val="24"/>
          <w:szCs w:val="24"/>
        </w:rPr>
      </w:pPr>
      <w:r>
        <w:rPr>
          <w:b/>
          <w:bCs/>
          <w:sz w:val="24"/>
          <w:szCs w:val="24"/>
        </w:rPr>
        <w:t>MINIMAL STANDARDS APPLICABLE AT IFIN-HH</w:t>
      </w:r>
    </w:p>
    <w:p w14:paraId="0B4062F0" w14:textId="16B964BC" w:rsidR="00EA1C3E" w:rsidRDefault="00056F56">
      <w:pPr>
        <w:spacing w:line="276" w:lineRule="auto"/>
        <w:jc w:val="center"/>
      </w:pPr>
      <w:r>
        <w:rPr>
          <w:b/>
          <w:bCs/>
          <w:sz w:val="24"/>
          <w:szCs w:val="24"/>
        </w:rPr>
        <w:t>f</w:t>
      </w:r>
      <w:r w:rsidR="006218C0">
        <w:rPr>
          <w:b/>
          <w:bCs/>
          <w:sz w:val="24"/>
          <w:szCs w:val="24"/>
        </w:rPr>
        <w:t>or</w:t>
      </w:r>
      <w:r>
        <w:rPr>
          <w:b/>
          <w:bCs/>
          <w:sz w:val="24"/>
          <w:szCs w:val="24"/>
        </w:rPr>
        <w:t xml:space="preserve"> </w:t>
      </w:r>
      <w:r w:rsidR="00C66D9A">
        <w:rPr>
          <w:b/>
          <w:bCs/>
          <w:sz w:val="24"/>
          <w:szCs w:val="24"/>
        </w:rPr>
        <w:t>being awarded</w:t>
      </w:r>
      <w:r w:rsidR="006218C0">
        <w:rPr>
          <w:b/>
          <w:bCs/>
          <w:sz w:val="24"/>
          <w:szCs w:val="24"/>
        </w:rPr>
        <w:t xml:space="preserve"> the professional ranks of</w:t>
      </w:r>
    </w:p>
    <w:p w14:paraId="40205659" w14:textId="77777777" w:rsidR="00EA1C3E" w:rsidRDefault="006218C0">
      <w:pPr>
        <w:spacing w:line="276" w:lineRule="auto"/>
        <w:jc w:val="center"/>
      </w:pPr>
      <w:r>
        <w:rPr>
          <w:b/>
          <w:bCs/>
          <w:sz w:val="24"/>
          <w:szCs w:val="24"/>
        </w:rPr>
        <w:t xml:space="preserve">  First Stage Researcher (Research Scientist - CS) and </w:t>
      </w:r>
    </w:p>
    <w:p w14:paraId="339D60E9" w14:textId="77777777" w:rsidR="00EA1C3E" w:rsidRDefault="006218C0">
      <w:pPr>
        <w:spacing w:line="276" w:lineRule="auto"/>
        <w:jc w:val="center"/>
      </w:pPr>
      <w:r>
        <w:rPr>
          <w:b/>
          <w:bCs/>
          <w:sz w:val="24"/>
          <w:szCs w:val="24"/>
        </w:rPr>
        <w:t xml:space="preserve">Recognised Researcher (3rd rank Research Scientist - CS III) </w:t>
      </w:r>
    </w:p>
    <w:p w14:paraId="379B968C" w14:textId="77777777" w:rsidR="00EA1C3E" w:rsidRDefault="00EA1C3E">
      <w:pPr>
        <w:spacing w:line="276" w:lineRule="auto"/>
        <w:rPr>
          <w:rFonts w:cstheme="minorHAnsi"/>
          <w:b/>
          <w:bCs/>
          <w:sz w:val="24"/>
          <w:szCs w:val="24"/>
          <w:lang w:val="ro-RO"/>
        </w:rPr>
      </w:pPr>
    </w:p>
    <w:p w14:paraId="66EB52C5" w14:textId="046AECC6" w:rsidR="00EA1C3E" w:rsidRDefault="006218C0">
      <w:pPr>
        <w:spacing w:line="276" w:lineRule="auto"/>
        <w:rPr>
          <w:rFonts w:cstheme="minorHAnsi"/>
          <w:sz w:val="24"/>
          <w:szCs w:val="24"/>
        </w:rPr>
      </w:pPr>
      <w:r>
        <w:rPr>
          <w:sz w:val="24"/>
          <w:szCs w:val="24"/>
        </w:rPr>
        <w:t xml:space="preserve">Approved in the meeting of IFIN-HH Scientific Council of 27.02.2025 (SC Decision </w:t>
      </w:r>
      <w:r w:rsidR="00530AF4">
        <w:rPr>
          <w:sz w:val="24"/>
          <w:szCs w:val="24"/>
        </w:rPr>
        <w:t>No.</w:t>
      </w:r>
      <w:r>
        <w:rPr>
          <w:sz w:val="24"/>
          <w:szCs w:val="24"/>
        </w:rPr>
        <w:t xml:space="preserve"> 5/27.02.2025)</w:t>
      </w:r>
    </w:p>
    <w:p w14:paraId="6CD34E91" w14:textId="77777777" w:rsidR="00EA1C3E" w:rsidRDefault="00EA1C3E">
      <w:pPr>
        <w:spacing w:line="276" w:lineRule="auto"/>
        <w:jc w:val="both"/>
      </w:pPr>
      <w:bookmarkStart w:id="0" w:name="_Hlk190034436"/>
      <w:bookmarkEnd w:id="0"/>
    </w:p>
    <w:p w14:paraId="017A0C50" w14:textId="77777777" w:rsidR="00EA1C3E" w:rsidRDefault="006218C0">
      <w:pPr>
        <w:rPr>
          <w:u w:val="single"/>
        </w:rPr>
      </w:pPr>
      <w:r>
        <w:rPr>
          <w:u w:val="single"/>
        </w:rPr>
        <w:t>Minimal Standards (at IFIN-HH)</w:t>
      </w:r>
    </w:p>
    <w:p w14:paraId="42370173" w14:textId="77777777" w:rsidR="00EA1C3E" w:rsidRDefault="006218C0">
      <w:pPr>
        <w:jc w:val="both"/>
      </w:pPr>
      <w:r>
        <w:t>1) IFIN-HH shall establish threshold scores (</w:t>
      </w:r>
      <w:proofErr w:type="spellStart"/>
      <w:r>
        <w:t>P</w:t>
      </w:r>
      <w:r>
        <w:rPr>
          <w:vertAlign w:val="subscript"/>
        </w:rPr>
        <w:t>threshold</w:t>
      </w:r>
      <w:proofErr w:type="spellEnd"/>
      <w:r>
        <w:t>) according to the table below.</w:t>
      </w:r>
    </w:p>
    <w:tbl>
      <w:tblPr>
        <w:tblW w:w="7163" w:type="dxa"/>
        <w:jc w:val="center"/>
        <w:tblCellMar>
          <w:top w:w="55" w:type="dxa"/>
          <w:left w:w="55" w:type="dxa"/>
          <w:bottom w:w="55" w:type="dxa"/>
          <w:right w:w="55" w:type="dxa"/>
        </w:tblCellMar>
        <w:tblLook w:val="04A0" w:firstRow="1" w:lastRow="0" w:firstColumn="1" w:lastColumn="0" w:noHBand="0" w:noVBand="1"/>
      </w:tblPr>
      <w:tblGrid>
        <w:gridCol w:w="1196"/>
        <w:gridCol w:w="2799"/>
        <w:gridCol w:w="3168"/>
      </w:tblGrid>
      <w:tr w:rsidR="00EA1C3E" w14:paraId="2EA9D806" w14:textId="77777777" w:rsidTr="001668A8">
        <w:trPr>
          <w:jc w:val="center"/>
        </w:trPr>
        <w:tc>
          <w:tcPr>
            <w:tcW w:w="1196" w:type="dxa"/>
            <w:tcBorders>
              <w:top w:val="single" w:sz="4" w:space="0" w:color="000000"/>
              <w:left w:val="single" w:sz="4" w:space="0" w:color="000000"/>
              <w:bottom w:val="single" w:sz="4" w:space="0" w:color="000000"/>
            </w:tcBorders>
          </w:tcPr>
          <w:p w14:paraId="533F6EF2" w14:textId="77777777" w:rsidR="00EA1C3E" w:rsidRDefault="00EA1C3E">
            <w:pPr>
              <w:pStyle w:val="TableContents"/>
              <w:spacing w:after="0"/>
              <w:rPr>
                <w:rFonts w:cstheme="minorHAnsi"/>
                <w:color w:val="000000"/>
                <w:lang w:val="ro-RO"/>
              </w:rPr>
            </w:pPr>
          </w:p>
        </w:tc>
        <w:tc>
          <w:tcPr>
            <w:tcW w:w="2799" w:type="dxa"/>
            <w:tcBorders>
              <w:top w:val="single" w:sz="4" w:space="0" w:color="000000"/>
              <w:left w:val="single" w:sz="4" w:space="0" w:color="000000"/>
              <w:bottom w:val="single" w:sz="4" w:space="0" w:color="000000"/>
            </w:tcBorders>
          </w:tcPr>
          <w:p w14:paraId="43901ADF" w14:textId="77777777" w:rsidR="00EA1C3E" w:rsidRDefault="006218C0">
            <w:pPr>
              <w:pStyle w:val="TableContents"/>
              <w:spacing w:after="0"/>
              <w:rPr>
                <w:rFonts w:cstheme="minorHAnsi"/>
                <w:color w:val="000000"/>
              </w:rPr>
            </w:pPr>
            <w:r>
              <w:rPr>
                <w:color w:val="000000"/>
              </w:rPr>
              <w:t>First Stage Researcher (CS)</w:t>
            </w:r>
          </w:p>
        </w:tc>
        <w:tc>
          <w:tcPr>
            <w:tcW w:w="3168" w:type="dxa"/>
            <w:tcBorders>
              <w:top w:val="single" w:sz="4" w:space="0" w:color="000000"/>
              <w:left w:val="single" w:sz="4" w:space="0" w:color="000000"/>
              <w:bottom w:val="single" w:sz="4" w:space="0" w:color="000000"/>
              <w:right w:val="single" w:sz="4" w:space="0" w:color="000000"/>
            </w:tcBorders>
          </w:tcPr>
          <w:p w14:paraId="0A63B881" w14:textId="77777777" w:rsidR="00EA1C3E" w:rsidRDefault="006218C0">
            <w:pPr>
              <w:pStyle w:val="TableContents"/>
              <w:spacing w:after="0"/>
              <w:rPr>
                <w:rFonts w:cstheme="minorHAnsi"/>
                <w:color w:val="000000"/>
              </w:rPr>
            </w:pPr>
            <w:r>
              <w:rPr>
                <w:color w:val="000000"/>
              </w:rPr>
              <w:t>Recognised Researcher (CSIII)</w:t>
            </w:r>
          </w:p>
        </w:tc>
      </w:tr>
      <w:tr w:rsidR="00EA1C3E" w14:paraId="10EA14C5" w14:textId="77777777" w:rsidTr="001668A8">
        <w:trPr>
          <w:jc w:val="center"/>
        </w:trPr>
        <w:tc>
          <w:tcPr>
            <w:tcW w:w="1196" w:type="dxa"/>
            <w:tcBorders>
              <w:left w:val="single" w:sz="4" w:space="0" w:color="000000"/>
              <w:bottom w:val="single" w:sz="4" w:space="0" w:color="000000"/>
            </w:tcBorders>
          </w:tcPr>
          <w:p w14:paraId="44D129A2" w14:textId="77777777" w:rsidR="00EA1C3E" w:rsidRDefault="006218C0">
            <w:pPr>
              <w:pStyle w:val="TableContents"/>
              <w:spacing w:after="0"/>
              <w:rPr>
                <w:rFonts w:cstheme="minorHAnsi"/>
                <w:b/>
                <w:color w:val="000000"/>
                <w:vertAlign w:val="subscript"/>
              </w:rPr>
            </w:pPr>
            <w:proofErr w:type="spellStart"/>
            <w:r>
              <w:rPr>
                <w:b/>
                <w:color w:val="000000"/>
              </w:rPr>
              <w:t>P</w:t>
            </w:r>
            <w:r>
              <w:rPr>
                <w:b/>
                <w:color w:val="000000"/>
                <w:vertAlign w:val="subscript"/>
              </w:rPr>
              <w:t>threshold</w:t>
            </w:r>
            <w:proofErr w:type="spellEnd"/>
          </w:p>
        </w:tc>
        <w:tc>
          <w:tcPr>
            <w:tcW w:w="2799" w:type="dxa"/>
            <w:tcBorders>
              <w:left w:val="single" w:sz="4" w:space="0" w:color="000000"/>
              <w:bottom w:val="single" w:sz="4" w:space="0" w:color="000000"/>
            </w:tcBorders>
          </w:tcPr>
          <w:p w14:paraId="27370252" w14:textId="77777777" w:rsidR="00EA1C3E" w:rsidRDefault="006218C0">
            <w:pPr>
              <w:pStyle w:val="TableContents"/>
              <w:spacing w:after="0"/>
              <w:jc w:val="center"/>
              <w:rPr>
                <w:rFonts w:cstheme="minorHAnsi"/>
                <w:color w:val="000000"/>
              </w:rPr>
            </w:pPr>
            <w:r>
              <w:rPr>
                <w:color w:val="000000"/>
              </w:rPr>
              <w:t>0.50</w:t>
            </w:r>
          </w:p>
        </w:tc>
        <w:tc>
          <w:tcPr>
            <w:tcW w:w="3168" w:type="dxa"/>
            <w:tcBorders>
              <w:left w:val="single" w:sz="4" w:space="0" w:color="000000"/>
              <w:bottom w:val="single" w:sz="4" w:space="0" w:color="000000"/>
              <w:right w:val="single" w:sz="4" w:space="0" w:color="000000"/>
            </w:tcBorders>
          </w:tcPr>
          <w:p w14:paraId="0460CECC" w14:textId="77777777" w:rsidR="00EA1C3E" w:rsidRDefault="006218C0">
            <w:pPr>
              <w:pStyle w:val="TableContents"/>
              <w:spacing w:after="0"/>
              <w:jc w:val="center"/>
              <w:rPr>
                <w:rFonts w:cstheme="minorHAnsi"/>
                <w:color w:val="000000"/>
              </w:rPr>
            </w:pPr>
            <w:r>
              <w:rPr>
                <w:color w:val="000000"/>
              </w:rPr>
              <w:t>1.50</w:t>
            </w:r>
          </w:p>
        </w:tc>
      </w:tr>
    </w:tbl>
    <w:p w14:paraId="7F2B86EE" w14:textId="77777777" w:rsidR="00EA1C3E" w:rsidRDefault="00EA1C3E">
      <w:pPr>
        <w:rPr>
          <w:lang w:val="ro-RO"/>
        </w:rPr>
      </w:pPr>
    </w:p>
    <w:p w14:paraId="43E44F99" w14:textId="77777777" w:rsidR="00EA1C3E" w:rsidRDefault="006218C0">
      <w:pPr>
        <w:jc w:val="both"/>
      </w:pPr>
      <w:r>
        <w:t>2) During the evaluation of the candidate’s scientific activity, the score P is determined in the following manner:</w:t>
      </w:r>
    </w:p>
    <w:p w14:paraId="28CE733B" w14:textId="77777777" w:rsidR="00EA1C3E" w:rsidRDefault="006218C0">
      <w:r>
        <w:t>P=P</w:t>
      </w:r>
      <w:r>
        <w:rPr>
          <w:vertAlign w:val="subscript"/>
        </w:rPr>
        <w:t>1</w:t>
      </w:r>
      <w:r>
        <w:t>+P</w:t>
      </w:r>
      <w:r>
        <w:rPr>
          <w:vertAlign w:val="subscript"/>
        </w:rPr>
        <w:t>2</w:t>
      </w:r>
      <w:r>
        <w:t>, where</w:t>
      </w:r>
    </w:p>
    <w:p w14:paraId="13275F53" w14:textId="77777777" w:rsidR="00EA1C3E" w:rsidRDefault="006218C0">
      <w:pPr>
        <w:jc w:val="both"/>
      </w:pPr>
      <w:r>
        <w:t>P</w:t>
      </w:r>
      <w:proofErr w:type="gramStart"/>
      <w:r>
        <w:rPr>
          <w:vertAlign w:val="subscript"/>
        </w:rPr>
        <w:t xml:space="preserve">1 </w:t>
      </w:r>
      <w:r>
        <w:t>:</w:t>
      </w:r>
      <w:proofErr w:type="gramEnd"/>
      <w:r>
        <w:t xml:space="preserve"> for articles where the candidate is an author, but not a first author or a corresponding author: </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nary>
          <m:naryPr>
            <m:chr m:val="∑"/>
            <m:supHide m:val="1"/>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w:p>
    <w:p w14:paraId="6880B22A" w14:textId="77777777" w:rsidR="00EA1C3E" w:rsidRDefault="006218C0">
      <w:r>
        <w:t>P</w:t>
      </w:r>
      <w:proofErr w:type="gramStart"/>
      <w:r>
        <w:rPr>
          <w:vertAlign w:val="subscript"/>
        </w:rPr>
        <w:t>2</w:t>
      </w:r>
      <w:r>
        <w:t> :</w:t>
      </w:r>
      <w:proofErr w:type="gramEnd"/>
      <w:r>
        <w:t xml:space="preserve"> for articles where the candidate is a first author or a corresponding author: </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m:t>
                </m:r>
              </m:e>
              <m:sub>
                <m:r>
                  <w:rPr>
                    <w:rFonts w:ascii="Cambria Math" w:hAnsi="Cambria Math"/>
                  </w:rPr>
                  <m:t>i</m:t>
                </m:r>
              </m:sub>
            </m:sSub>
          </m:e>
        </m:nary>
      </m:oMath>
    </w:p>
    <w:p w14:paraId="2C3FEC3F" w14:textId="66C4E5CD" w:rsidR="00EA1C3E" w:rsidRDefault="006218C0">
      <w:pPr>
        <w:jc w:val="both"/>
      </w:pPr>
      <w:r>
        <w:rPr>
          <w:i/>
          <w:iCs/>
        </w:rPr>
        <w:t>a</w:t>
      </w:r>
      <w:r>
        <w:rPr>
          <w:i/>
          <w:iCs/>
          <w:vertAlign w:val="subscript"/>
        </w:rPr>
        <w:t>i</w:t>
      </w:r>
      <w:r>
        <w:t xml:space="preserve"> = is the absolute Article influence score of the scientific journal where article </w:t>
      </w:r>
      <w:proofErr w:type="spellStart"/>
      <w:r w:rsidR="002714E3">
        <w:rPr>
          <w:i/>
        </w:rPr>
        <w:t>i</w:t>
      </w:r>
      <w:proofErr w:type="spellEnd"/>
      <w:r w:rsidR="002714E3">
        <w:rPr>
          <w:i/>
        </w:rPr>
        <w:t xml:space="preserve"> </w:t>
      </w:r>
      <w:r>
        <w:t xml:space="preserve">was published, according to its year of publication as per </w:t>
      </w:r>
      <w:hyperlink r:id="rId7">
        <w:r>
          <w:rPr>
            <w:rStyle w:val="InternetLink"/>
          </w:rPr>
          <w:t>http://www.eigenfactor.org/</w:t>
        </w:r>
      </w:hyperlink>
      <w:r>
        <w:t xml:space="preserve"> for articles published until 2006 and Journal Citation Report (Web of Science) starting from 2007; if the publishing year cannot be not found in the database, the closest year shall be chosen.</w:t>
      </w:r>
    </w:p>
    <w:p w14:paraId="2B56F173" w14:textId="77777777" w:rsidR="00EA1C3E" w:rsidRDefault="00000000">
      <w:pPr>
        <w:pStyle w:val="Standard"/>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sidR="00837758">
        <w:rPr>
          <w:rFonts w:asciiTheme="minorHAnsi" w:hAnsiTheme="minorHAnsi"/>
          <w:sz w:val="22"/>
        </w:rPr>
        <w:t xml:space="preserve">= is the actual number of authors of item </w:t>
      </w:r>
      <w:proofErr w:type="spellStart"/>
      <w:r w:rsidR="00837758">
        <w:rPr>
          <w:rFonts w:asciiTheme="minorHAnsi" w:hAnsiTheme="minorHAnsi"/>
          <w:b/>
          <w:i/>
          <w:sz w:val="22"/>
        </w:rPr>
        <w:t>i</w:t>
      </w:r>
      <w:proofErr w:type="spellEnd"/>
      <w:r w:rsidR="00837758">
        <w:rPr>
          <w:rFonts w:asciiTheme="minorHAnsi" w:hAnsiTheme="minorHAnsi"/>
          <w:sz w:val="22"/>
        </w:rPr>
        <w:t xml:space="preserve"> and is determined as follows:</w:t>
      </w:r>
    </w:p>
    <w:p w14:paraId="417983F9" w14:textId="77777777" w:rsidR="00EA1C3E" w:rsidRDefault="00EA1C3E">
      <w:pPr>
        <w:pStyle w:val="Standard"/>
        <w:rPr>
          <w:rFonts w:asciiTheme="minorHAnsi" w:hAnsiTheme="minorHAnsi" w:cstheme="minorHAnsi"/>
          <w:sz w:val="22"/>
          <w:szCs w:val="22"/>
          <w:lang w:val="ro-RO"/>
        </w:rPr>
      </w:pPr>
    </w:p>
    <w:tbl>
      <w:tblPr>
        <w:tblStyle w:val="TableGrid"/>
        <w:tblW w:w="3120" w:type="dxa"/>
        <w:tblLook w:val="04A0" w:firstRow="1" w:lastRow="0" w:firstColumn="1" w:lastColumn="0" w:noHBand="0" w:noVBand="1"/>
      </w:tblPr>
      <w:tblGrid>
        <w:gridCol w:w="1247"/>
        <w:gridCol w:w="1873"/>
      </w:tblGrid>
      <w:tr w:rsidR="00EA1C3E" w14:paraId="4FE6B5C1" w14:textId="77777777">
        <w:trPr>
          <w:trHeight w:val="242"/>
        </w:trPr>
        <w:tc>
          <w:tcPr>
            <w:tcW w:w="1247" w:type="dxa"/>
          </w:tcPr>
          <w:p w14:paraId="6DC8ADF6" w14:textId="77777777" w:rsidR="00EA1C3E" w:rsidRDefault="006218C0">
            <w:pPr>
              <w:pStyle w:val="Standard"/>
              <w:rPr>
                <w:rFonts w:asciiTheme="minorHAnsi" w:hAnsiTheme="minorHAnsi" w:cstheme="minorHAnsi"/>
                <w:i/>
                <w:sz w:val="22"/>
                <w:szCs w:val="22"/>
                <w:vertAlign w:val="subscript"/>
              </w:rPr>
            </w:pP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p>
        </w:tc>
        <w:tc>
          <w:tcPr>
            <w:tcW w:w="1872" w:type="dxa"/>
          </w:tcPr>
          <w:p w14:paraId="46C6B3A6" w14:textId="77777777" w:rsidR="00EA1C3E" w:rsidRDefault="006218C0">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5</w:t>
            </w:r>
          </w:p>
        </w:tc>
      </w:tr>
      <w:tr w:rsidR="00EA1C3E" w14:paraId="24C34A81" w14:textId="77777777">
        <w:tc>
          <w:tcPr>
            <w:tcW w:w="1247" w:type="dxa"/>
          </w:tcPr>
          <w:p w14:paraId="60D78DC5" w14:textId="77777777" w:rsidR="00EA1C3E" w:rsidRDefault="006218C0">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+ 5)/2</w:t>
            </w:r>
          </w:p>
        </w:tc>
        <w:tc>
          <w:tcPr>
            <w:tcW w:w="1872" w:type="dxa"/>
          </w:tcPr>
          <w:p w14:paraId="4866A48B" w14:textId="77777777" w:rsidR="00EA1C3E" w:rsidRDefault="006218C0">
            <w:pPr>
              <w:pStyle w:val="Standard"/>
              <w:rPr>
                <w:rFonts w:asciiTheme="minorHAnsi" w:hAnsiTheme="minorHAnsi" w:cstheme="minorHAnsi"/>
                <w:sz w:val="22"/>
                <w:szCs w:val="22"/>
              </w:rPr>
            </w:pPr>
            <w:r>
              <w:rPr>
                <w:rFonts w:asciiTheme="minorHAnsi" w:hAnsiTheme="minorHAnsi"/>
                <w:sz w:val="22"/>
                <w:szCs w:val="22"/>
              </w:rPr>
              <w:t xml:space="preserve">if 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15</w:t>
            </w:r>
          </w:p>
        </w:tc>
      </w:tr>
      <w:tr w:rsidR="00EA1C3E" w14:paraId="3630DD88" w14:textId="77777777">
        <w:tc>
          <w:tcPr>
            <w:tcW w:w="1247" w:type="dxa"/>
          </w:tcPr>
          <w:p w14:paraId="730E00D1" w14:textId="77777777" w:rsidR="00EA1C3E" w:rsidRDefault="006218C0">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+ 15)/3</w:t>
            </w:r>
          </w:p>
        </w:tc>
        <w:tc>
          <w:tcPr>
            <w:tcW w:w="1872" w:type="dxa"/>
          </w:tcPr>
          <w:p w14:paraId="7B42367A" w14:textId="77777777" w:rsidR="00EA1C3E" w:rsidRDefault="006218C0">
            <w:pPr>
              <w:pStyle w:val="Standard"/>
              <w:rPr>
                <w:rFonts w:asciiTheme="minorHAnsi" w:hAnsiTheme="minorHAnsi" w:cstheme="minorHAnsi"/>
                <w:sz w:val="22"/>
                <w:szCs w:val="22"/>
              </w:rPr>
            </w:pPr>
            <w:r>
              <w:rPr>
                <w:rFonts w:asciiTheme="minorHAnsi" w:hAnsiTheme="minorHAnsi"/>
                <w:sz w:val="22"/>
                <w:szCs w:val="22"/>
              </w:rPr>
              <w:t xml:space="preserve">if 15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75</w:t>
            </w:r>
          </w:p>
        </w:tc>
      </w:tr>
      <w:tr w:rsidR="00EA1C3E" w14:paraId="442D3DC7" w14:textId="77777777">
        <w:tc>
          <w:tcPr>
            <w:tcW w:w="1247" w:type="dxa"/>
          </w:tcPr>
          <w:p w14:paraId="0BAF83F3" w14:textId="77777777" w:rsidR="00EA1C3E" w:rsidRDefault="006218C0">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+ 45)/4</w:t>
            </w:r>
          </w:p>
        </w:tc>
        <w:tc>
          <w:tcPr>
            <w:tcW w:w="1872" w:type="dxa"/>
          </w:tcPr>
          <w:p w14:paraId="6765B713" w14:textId="77777777" w:rsidR="00EA1C3E" w:rsidRDefault="006218C0">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&gt;</w:t>
            </w:r>
            <w:proofErr w:type="gramEnd"/>
            <w:r>
              <w:rPr>
                <w:rFonts w:asciiTheme="minorHAnsi" w:hAnsiTheme="minorHAnsi"/>
                <w:sz w:val="22"/>
                <w:szCs w:val="22"/>
              </w:rPr>
              <w:t xml:space="preserve"> 75</w:t>
            </w:r>
          </w:p>
        </w:tc>
      </w:tr>
    </w:tbl>
    <w:p w14:paraId="16A7C806" w14:textId="77777777" w:rsidR="00EA1C3E" w:rsidRDefault="00EA1C3E">
      <w:pPr>
        <w:rPr>
          <w:lang w:val="ro-RO"/>
        </w:rPr>
      </w:pPr>
    </w:p>
    <w:p w14:paraId="3DB141A8" w14:textId="77777777" w:rsidR="00EA1C3E" w:rsidRDefault="006218C0">
      <w:pPr>
        <w:jc w:val="both"/>
      </w:pPr>
      <w:r>
        <w:t>where</w:t>
      </w:r>
      <w:r>
        <w:rPr>
          <w:i/>
        </w:rPr>
        <w:t xml:space="preserve"> </w:t>
      </w:r>
      <w:proofErr w:type="spellStart"/>
      <w:r>
        <w:rPr>
          <w:i/>
        </w:rPr>
        <w:t>n</w:t>
      </w:r>
      <w:r>
        <w:rPr>
          <w:i/>
          <w:vertAlign w:val="subscript"/>
        </w:rPr>
        <w:t>i</w:t>
      </w:r>
      <w:proofErr w:type="spellEnd"/>
      <w:r>
        <w:t xml:space="preserve"> is typically the number of authors of item </w:t>
      </w:r>
      <w:proofErr w:type="spellStart"/>
      <w:r>
        <w:rPr>
          <w:i/>
        </w:rPr>
        <w:t>i</w:t>
      </w:r>
      <w:proofErr w:type="spellEnd"/>
      <w:r>
        <w:t xml:space="preserve">. In the case of HEPP (High Energy Particle Physics) publications with a large number of authors, if the article is based on an internal note of the collaboration and the candidate is a co-author of this internal note, then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t xml:space="preserve"> can be given by the number of authors in the internal note. </w:t>
      </w:r>
    </w:p>
    <w:p w14:paraId="54309BB4" w14:textId="77777777" w:rsidR="00EA1C3E" w:rsidRDefault="006218C0">
      <w:pPr>
        <w:spacing w:line="276" w:lineRule="auto"/>
        <w:jc w:val="both"/>
      </w:pPr>
      <w:r>
        <w:t>The capacity as first author or corresponding author shall be determined based on the mentions in the article. Articles where authors are indicated in the alphabetical order of their name and the candidate is a first author exclusively due to their name and the alphabetical order shall not be taken into account.  In the case of HEPP publications with a large number of authors, if the article is based on an internal note whose approval for sending to publication was upheld by the author, then the author is considered first author.</w:t>
      </w:r>
    </w:p>
    <w:p w14:paraId="67D221C7" w14:textId="77777777" w:rsidR="00EA1C3E" w:rsidRDefault="00EA1C3E">
      <w:pPr>
        <w:shd w:val="clear" w:color="auto" w:fill="FFFFFF"/>
        <w:spacing w:line="276" w:lineRule="auto"/>
        <w:jc w:val="both"/>
        <w:rPr>
          <w:rFonts w:eastAsia="Times New Roman" w:cstheme="minorHAnsi"/>
          <w:sz w:val="24"/>
          <w:szCs w:val="24"/>
          <w:highlight w:val="yellow"/>
          <w:lang w:val="ro-RO"/>
        </w:rPr>
      </w:pPr>
    </w:p>
    <w:p w14:paraId="0366C3E3" w14:textId="77777777" w:rsidR="00EA1C3E" w:rsidRDefault="00EA1C3E">
      <w:pPr>
        <w:shd w:val="clear" w:color="auto" w:fill="FFFFFF"/>
        <w:spacing w:line="276" w:lineRule="auto"/>
        <w:jc w:val="both"/>
        <w:rPr>
          <w:rFonts w:eastAsia="Times New Roman" w:cstheme="minorHAnsi"/>
          <w:sz w:val="24"/>
          <w:szCs w:val="24"/>
          <w:highlight w:val="yellow"/>
          <w:lang w:val="ro-RO"/>
        </w:rPr>
      </w:pPr>
    </w:p>
    <w:p w14:paraId="187580DB" w14:textId="77777777" w:rsidR="00EA1C3E" w:rsidRDefault="00EA1C3E">
      <w:pPr>
        <w:shd w:val="clear" w:color="auto" w:fill="FFFFFF"/>
        <w:spacing w:line="276" w:lineRule="auto"/>
        <w:jc w:val="both"/>
        <w:rPr>
          <w:rFonts w:eastAsia="Times New Roman" w:cstheme="minorHAnsi"/>
          <w:sz w:val="24"/>
          <w:szCs w:val="24"/>
          <w:highlight w:val="yellow"/>
          <w:lang w:val="ro-RO"/>
        </w:rPr>
      </w:pPr>
    </w:p>
    <w:p w14:paraId="6EDD1D89" w14:textId="77777777" w:rsidR="00EA1C3E" w:rsidRDefault="00EA1C3E">
      <w:pPr>
        <w:shd w:val="clear" w:color="auto" w:fill="FFFFFF"/>
        <w:spacing w:line="276" w:lineRule="auto"/>
        <w:jc w:val="both"/>
        <w:rPr>
          <w:rFonts w:eastAsia="Times New Roman" w:cstheme="minorHAnsi"/>
          <w:sz w:val="24"/>
          <w:szCs w:val="24"/>
          <w:highlight w:val="yellow"/>
          <w:lang w:val="ro-RO"/>
        </w:rPr>
      </w:pPr>
    </w:p>
    <w:p w14:paraId="33C2F1A7" w14:textId="77777777" w:rsidR="00EA1C3E" w:rsidRDefault="00EA1C3E">
      <w:pPr>
        <w:shd w:val="clear" w:color="auto" w:fill="FFFFFF"/>
        <w:spacing w:line="276" w:lineRule="auto"/>
        <w:jc w:val="both"/>
        <w:rPr>
          <w:rFonts w:eastAsia="Times New Roman" w:cstheme="minorHAnsi"/>
          <w:sz w:val="24"/>
          <w:szCs w:val="24"/>
          <w:highlight w:val="yellow"/>
          <w:lang w:val="ro-RO"/>
        </w:rPr>
      </w:pPr>
    </w:p>
    <w:p w14:paraId="58BD6843" w14:textId="77777777" w:rsidR="00EA1C3E" w:rsidRDefault="006218C0">
      <w:pPr>
        <w:shd w:val="clear" w:color="auto" w:fill="FFFFFF"/>
        <w:spacing w:line="276" w:lineRule="auto"/>
        <w:jc w:val="both"/>
        <w:rPr>
          <w:rFonts w:eastAsia="Times New Roman" w:cstheme="minorHAnsi"/>
          <w:b/>
          <w:bCs/>
          <w:sz w:val="24"/>
          <w:szCs w:val="24"/>
          <w:highlight w:val="yellow"/>
        </w:rPr>
      </w:pPr>
      <w:r>
        <w:rPr>
          <w:b/>
          <w:bCs/>
          <w:sz w:val="24"/>
          <w:szCs w:val="24"/>
        </w:rPr>
        <w:lastRenderedPageBreak/>
        <w:t>Minimal Standards Self-Assessment Form:</w:t>
      </w:r>
    </w:p>
    <w:p w14:paraId="7555AEF3" w14:textId="77777777" w:rsidR="00EA1C3E" w:rsidRDefault="00EA1C3E">
      <w:pPr>
        <w:shd w:val="clear" w:color="auto" w:fill="FFFFFF"/>
        <w:spacing w:line="276" w:lineRule="auto"/>
        <w:jc w:val="both"/>
        <w:rPr>
          <w:rFonts w:eastAsia="Times New Roman" w:cstheme="minorHAnsi"/>
          <w:sz w:val="24"/>
          <w:szCs w:val="24"/>
          <w:highlight w:val="yellow"/>
          <w:lang w:val="ro-RO"/>
        </w:rPr>
      </w:pPr>
    </w:p>
    <w:tbl>
      <w:tblPr>
        <w:tblStyle w:val="TableGrid"/>
        <w:tblW w:w="9558" w:type="dxa"/>
        <w:tblLook w:val="0600" w:firstRow="0" w:lastRow="0" w:firstColumn="0" w:lastColumn="0" w:noHBand="1" w:noVBand="1"/>
      </w:tblPr>
      <w:tblGrid>
        <w:gridCol w:w="2714"/>
        <w:gridCol w:w="1530"/>
        <w:gridCol w:w="989"/>
        <w:gridCol w:w="4325"/>
      </w:tblGrid>
      <w:tr w:rsidR="00EA1C3E" w14:paraId="305B9E53" w14:textId="77777777">
        <w:tc>
          <w:tcPr>
            <w:tcW w:w="2714" w:type="dxa"/>
            <w:vAlign w:val="center"/>
          </w:tcPr>
          <w:p w14:paraId="73258D98" w14:textId="77777777" w:rsidR="00EA1C3E" w:rsidRDefault="006218C0">
            <w:pPr>
              <w:jc w:val="center"/>
              <w:rPr>
                <w:rFonts w:cstheme="minorHAnsi"/>
              </w:rPr>
            </w:pPr>
            <w:r>
              <w:t>Category of Articles</w:t>
            </w:r>
          </w:p>
          <w:p w14:paraId="02B60106" w14:textId="77777777" w:rsidR="00EA1C3E" w:rsidRDefault="00EA1C3E">
            <w:pPr>
              <w:jc w:val="center"/>
              <w:rPr>
                <w:rFonts w:eastAsia="Times New Roman" w:cstheme="minorHAnsi"/>
                <w:kern w:val="0"/>
                <w:lang w:val="ro-RO"/>
              </w:rPr>
            </w:pPr>
          </w:p>
        </w:tc>
        <w:tc>
          <w:tcPr>
            <w:tcW w:w="1529" w:type="dxa"/>
            <w:vAlign w:val="center"/>
          </w:tcPr>
          <w:p w14:paraId="1B51FFF3" w14:textId="77777777" w:rsidR="00EA1C3E" w:rsidRDefault="006218C0">
            <w:pPr>
              <w:jc w:val="center"/>
              <w:rPr>
                <w:rFonts w:cstheme="minorHAnsi"/>
              </w:rPr>
            </w:pPr>
            <w:r>
              <w:t>Position in the List of Papers</w:t>
            </w:r>
          </w:p>
        </w:tc>
        <w:tc>
          <w:tcPr>
            <w:tcW w:w="989" w:type="dxa"/>
            <w:vAlign w:val="center"/>
          </w:tcPr>
          <w:p w14:paraId="33D4CCAC" w14:textId="77777777" w:rsidR="00EA1C3E" w:rsidRDefault="006218C0">
            <w:pPr>
              <w:jc w:val="center"/>
              <w:rPr>
                <w:rFonts w:cstheme="minorHAnsi"/>
              </w:rPr>
            </w:pPr>
            <w:r>
              <w:t>Score</w:t>
            </w:r>
          </w:p>
        </w:tc>
        <w:tc>
          <w:tcPr>
            <w:tcW w:w="4325" w:type="dxa"/>
            <w:vAlign w:val="center"/>
          </w:tcPr>
          <w:p w14:paraId="05BCA03B" w14:textId="77777777" w:rsidR="00EA1C3E" w:rsidRDefault="006218C0">
            <w:pPr>
              <w:jc w:val="center"/>
              <w:rPr>
                <w:rFonts w:cstheme="minorHAnsi"/>
              </w:rPr>
            </w:pPr>
            <w:r>
              <w:t>Calculation Details</w:t>
            </w:r>
          </w:p>
        </w:tc>
      </w:tr>
      <w:tr w:rsidR="00EA1C3E" w14:paraId="43FE626E" w14:textId="77777777">
        <w:tc>
          <w:tcPr>
            <w:tcW w:w="2714" w:type="dxa"/>
            <w:vMerge w:val="restart"/>
            <w:vAlign w:val="center"/>
          </w:tcPr>
          <w:p w14:paraId="45D5940B" w14:textId="77777777" w:rsidR="00EA1C3E" w:rsidRDefault="006218C0">
            <w:pPr>
              <w:rPr>
                <w:rFonts w:cstheme="minorHAnsi"/>
              </w:rPr>
            </w:pPr>
            <w:r>
              <w:t>Articles in ISI Thomson Reuters ranked journals and in ISI Proceedings indexed volumes for which the candidate is not a first author or a corresponding author</w:t>
            </w:r>
          </w:p>
        </w:tc>
        <w:tc>
          <w:tcPr>
            <w:tcW w:w="1529" w:type="dxa"/>
            <w:vAlign w:val="center"/>
          </w:tcPr>
          <w:p w14:paraId="2D9D452F" w14:textId="77777777" w:rsidR="00EA1C3E" w:rsidRDefault="006218C0">
            <w:pPr>
              <w:jc w:val="center"/>
              <w:rPr>
                <w:rFonts w:cstheme="minorHAnsi"/>
              </w:rPr>
            </w:pPr>
            <w:proofErr w:type="spellStart"/>
            <w:r>
              <w:t>i</w:t>
            </w:r>
            <w:proofErr w:type="spellEnd"/>
          </w:p>
        </w:tc>
        <w:tc>
          <w:tcPr>
            <w:tcW w:w="989" w:type="dxa"/>
            <w:vAlign w:val="center"/>
          </w:tcPr>
          <w:p w14:paraId="0573F817" w14:textId="77777777" w:rsidR="00EA1C3E" w:rsidRDefault="00000000">
            <w:pPr>
              <w:jc w:val="center"/>
              <w:rPr>
                <w:rFonts w:cstheme="minorHAnsi"/>
              </w:rPr>
            </w:pPr>
            <m:oMathPara>
              <m:oMath>
                <m:f>
                  <m:fPr>
                    <m:type m:val="lin"/>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oMath>
            </m:oMathPara>
          </w:p>
        </w:tc>
        <w:tc>
          <w:tcPr>
            <w:tcW w:w="4325" w:type="dxa"/>
            <w:vAlign w:val="center"/>
          </w:tcPr>
          <w:p w14:paraId="4D013FEE" w14:textId="705D0278" w:rsidR="00EA1C3E" w:rsidRDefault="006218C0">
            <w:pPr>
              <w:rPr>
                <w:rFonts w:cstheme="minorHAnsi"/>
              </w:rPr>
            </w:pPr>
            <w:r>
              <w:t>Journal of Fluorescence, 2011; 21(4):1421-9, AIS=0.506, no. of authors:6, ef no:5.33</w:t>
            </w:r>
          </w:p>
        </w:tc>
      </w:tr>
      <w:tr w:rsidR="00EA1C3E" w14:paraId="051D2660" w14:textId="77777777">
        <w:trPr>
          <w:trHeight w:val="665"/>
        </w:trPr>
        <w:tc>
          <w:tcPr>
            <w:tcW w:w="2714" w:type="dxa"/>
            <w:vMerge/>
            <w:vAlign w:val="center"/>
          </w:tcPr>
          <w:p w14:paraId="1112EF0E" w14:textId="77777777" w:rsidR="00EA1C3E" w:rsidRDefault="00EA1C3E">
            <w:pPr>
              <w:rPr>
                <w:rFonts w:eastAsia="Times New Roman" w:cstheme="minorHAnsi"/>
                <w:kern w:val="0"/>
                <w:lang w:val="ro-RO"/>
              </w:rPr>
            </w:pPr>
          </w:p>
        </w:tc>
        <w:tc>
          <w:tcPr>
            <w:tcW w:w="1529" w:type="dxa"/>
            <w:vAlign w:val="center"/>
          </w:tcPr>
          <w:p w14:paraId="1E699E71" w14:textId="77777777" w:rsidR="00EA1C3E" w:rsidRDefault="006218C0">
            <w:pPr>
              <w:jc w:val="center"/>
              <w:rPr>
                <w:rFonts w:cstheme="minorHAnsi"/>
              </w:rPr>
            </w:pPr>
            <w:r>
              <w:t>..</w:t>
            </w:r>
          </w:p>
        </w:tc>
        <w:tc>
          <w:tcPr>
            <w:tcW w:w="989" w:type="dxa"/>
            <w:vAlign w:val="center"/>
          </w:tcPr>
          <w:p w14:paraId="54F00AEC" w14:textId="77777777" w:rsidR="00EA1C3E" w:rsidRDefault="00EA1C3E">
            <w:pPr>
              <w:jc w:val="center"/>
              <w:rPr>
                <w:rFonts w:eastAsia="Times New Roman" w:cstheme="minorHAnsi"/>
                <w:kern w:val="0"/>
                <w:lang w:val="ro-RO"/>
              </w:rPr>
            </w:pPr>
          </w:p>
        </w:tc>
        <w:tc>
          <w:tcPr>
            <w:tcW w:w="4325" w:type="dxa"/>
            <w:vAlign w:val="center"/>
          </w:tcPr>
          <w:p w14:paraId="17DFF094" w14:textId="77777777" w:rsidR="00EA1C3E" w:rsidRDefault="00EA1C3E">
            <w:pPr>
              <w:rPr>
                <w:rFonts w:eastAsia="Times New Roman" w:cstheme="minorHAnsi"/>
                <w:kern w:val="0"/>
                <w:lang w:val="ro-RO"/>
              </w:rPr>
            </w:pPr>
          </w:p>
        </w:tc>
      </w:tr>
      <w:tr w:rsidR="00EA1C3E" w14:paraId="28B82705" w14:textId="77777777">
        <w:trPr>
          <w:trHeight w:val="683"/>
        </w:trPr>
        <w:tc>
          <w:tcPr>
            <w:tcW w:w="2714" w:type="dxa"/>
            <w:vMerge/>
            <w:vAlign w:val="center"/>
          </w:tcPr>
          <w:p w14:paraId="4A55E4BA" w14:textId="77777777" w:rsidR="00EA1C3E" w:rsidRDefault="00EA1C3E">
            <w:pPr>
              <w:rPr>
                <w:rFonts w:eastAsia="Times New Roman" w:cstheme="minorHAnsi"/>
                <w:kern w:val="0"/>
                <w:lang w:val="ro-RO"/>
              </w:rPr>
            </w:pPr>
          </w:p>
        </w:tc>
        <w:tc>
          <w:tcPr>
            <w:tcW w:w="1529" w:type="dxa"/>
            <w:vAlign w:val="center"/>
          </w:tcPr>
          <w:p w14:paraId="5C3481B8" w14:textId="77777777" w:rsidR="00EA1C3E" w:rsidRDefault="006218C0">
            <w:pPr>
              <w:jc w:val="center"/>
              <w:rPr>
                <w:rFonts w:cstheme="minorHAnsi"/>
              </w:rPr>
            </w:pPr>
            <w:r>
              <w:t>...</w:t>
            </w:r>
          </w:p>
        </w:tc>
        <w:tc>
          <w:tcPr>
            <w:tcW w:w="989" w:type="dxa"/>
            <w:vAlign w:val="center"/>
          </w:tcPr>
          <w:p w14:paraId="65615AFD" w14:textId="77777777" w:rsidR="00EA1C3E" w:rsidRDefault="00EA1C3E">
            <w:pPr>
              <w:jc w:val="center"/>
              <w:rPr>
                <w:rFonts w:eastAsia="Times New Roman" w:cstheme="minorHAnsi"/>
                <w:kern w:val="0"/>
                <w:lang w:val="ro-RO"/>
              </w:rPr>
            </w:pPr>
          </w:p>
        </w:tc>
        <w:tc>
          <w:tcPr>
            <w:tcW w:w="4325" w:type="dxa"/>
            <w:vAlign w:val="center"/>
          </w:tcPr>
          <w:p w14:paraId="62EC925F" w14:textId="77777777" w:rsidR="00EA1C3E" w:rsidRDefault="00EA1C3E">
            <w:pPr>
              <w:rPr>
                <w:rFonts w:eastAsia="Times New Roman" w:cstheme="minorHAnsi"/>
                <w:kern w:val="0"/>
                <w:lang w:val="ro-RO"/>
              </w:rPr>
            </w:pPr>
          </w:p>
        </w:tc>
      </w:tr>
      <w:tr w:rsidR="00EA1C3E" w14:paraId="4A5022DF" w14:textId="77777777">
        <w:tc>
          <w:tcPr>
            <w:tcW w:w="2714" w:type="dxa"/>
            <w:vMerge w:val="restart"/>
            <w:vAlign w:val="center"/>
          </w:tcPr>
          <w:p w14:paraId="3BBDC2DC" w14:textId="77777777" w:rsidR="00EA1C3E" w:rsidRDefault="006218C0">
            <w:pPr>
              <w:rPr>
                <w:rFonts w:cstheme="minorHAnsi"/>
              </w:rPr>
            </w:pPr>
            <w:r>
              <w:t>Articles in ISI Thomson Reuters ranked journals and in ISI Proceedings indexed volumes for which the candidate is a first author or a corresponding author</w:t>
            </w:r>
          </w:p>
        </w:tc>
        <w:tc>
          <w:tcPr>
            <w:tcW w:w="1529" w:type="dxa"/>
            <w:vAlign w:val="center"/>
          </w:tcPr>
          <w:p w14:paraId="79E935CE" w14:textId="77777777" w:rsidR="00EA1C3E" w:rsidRDefault="006218C0">
            <w:pPr>
              <w:jc w:val="center"/>
              <w:rPr>
                <w:rFonts w:cstheme="minorHAnsi"/>
              </w:rPr>
            </w:pPr>
            <w:r>
              <w:t>..</w:t>
            </w:r>
          </w:p>
        </w:tc>
        <w:tc>
          <w:tcPr>
            <w:tcW w:w="989" w:type="dxa"/>
            <w:vAlign w:val="center"/>
          </w:tcPr>
          <w:p w14:paraId="02C20F69" w14:textId="77777777" w:rsidR="00EA1C3E" w:rsidRDefault="00000000">
            <w:pPr>
              <w:jc w:val="center"/>
              <w:rPr>
                <w:rFonts w:cstheme="minorHAnsi"/>
              </w:rPr>
            </w:pPr>
            <m:oMathPara>
              <m:oMath>
                <m:sSub>
                  <m:sSubPr>
                    <m:ctrlPr>
                      <w:rPr>
                        <w:rFonts w:ascii="Cambria Math" w:hAnsi="Cambria Math"/>
                      </w:rPr>
                    </m:ctrlPr>
                  </m:sSubPr>
                  <m:e>
                    <m:r>
                      <w:rPr>
                        <w:rFonts w:ascii="Cambria Math" w:hAnsi="Cambria Math"/>
                      </w:rPr>
                      <m:t>a</m:t>
                    </m:r>
                  </m:e>
                  <m:sub>
                    <m:r>
                      <w:rPr>
                        <w:rFonts w:ascii="Cambria Math" w:hAnsi="Cambria Math"/>
                      </w:rPr>
                      <m:t>i</m:t>
                    </m:r>
                  </m:sub>
                </m:sSub>
              </m:oMath>
            </m:oMathPara>
          </w:p>
        </w:tc>
        <w:tc>
          <w:tcPr>
            <w:tcW w:w="4325" w:type="dxa"/>
            <w:vAlign w:val="center"/>
          </w:tcPr>
          <w:p w14:paraId="69D5CE16" w14:textId="77777777" w:rsidR="00EA1C3E" w:rsidRDefault="00EA1C3E">
            <w:pPr>
              <w:spacing w:line="276" w:lineRule="auto"/>
              <w:rPr>
                <w:rFonts w:eastAsia="Times New Roman" w:cstheme="minorHAnsi"/>
                <w:kern w:val="0"/>
                <w:lang w:val="ro-RO"/>
              </w:rPr>
            </w:pPr>
          </w:p>
        </w:tc>
      </w:tr>
      <w:tr w:rsidR="00EA1C3E" w14:paraId="5F655F9F" w14:textId="77777777">
        <w:tc>
          <w:tcPr>
            <w:tcW w:w="2714" w:type="dxa"/>
            <w:vMerge/>
            <w:vAlign w:val="center"/>
          </w:tcPr>
          <w:p w14:paraId="7F569FAC" w14:textId="77777777" w:rsidR="00EA1C3E" w:rsidRDefault="00EA1C3E">
            <w:pPr>
              <w:jc w:val="center"/>
              <w:rPr>
                <w:rFonts w:eastAsia="Times New Roman" w:cstheme="minorHAnsi"/>
                <w:kern w:val="0"/>
                <w:lang w:val="ro-RO"/>
              </w:rPr>
            </w:pPr>
          </w:p>
        </w:tc>
        <w:tc>
          <w:tcPr>
            <w:tcW w:w="1529" w:type="dxa"/>
            <w:vAlign w:val="center"/>
          </w:tcPr>
          <w:p w14:paraId="39388172" w14:textId="77777777" w:rsidR="00EA1C3E" w:rsidRDefault="00EA1C3E">
            <w:pPr>
              <w:jc w:val="center"/>
              <w:rPr>
                <w:rFonts w:eastAsia="Times New Roman" w:cstheme="minorHAnsi"/>
                <w:kern w:val="0"/>
                <w:lang w:val="ro-RO"/>
              </w:rPr>
            </w:pPr>
          </w:p>
        </w:tc>
        <w:tc>
          <w:tcPr>
            <w:tcW w:w="989" w:type="dxa"/>
            <w:vAlign w:val="center"/>
          </w:tcPr>
          <w:p w14:paraId="47CAC4E9" w14:textId="77777777" w:rsidR="00EA1C3E" w:rsidRDefault="00EA1C3E">
            <w:pPr>
              <w:jc w:val="center"/>
              <w:rPr>
                <w:rFonts w:eastAsia="Times New Roman" w:cstheme="minorHAnsi"/>
                <w:kern w:val="0"/>
                <w:lang w:val="ro-RO"/>
              </w:rPr>
            </w:pPr>
          </w:p>
        </w:tc>
        <w:tc>
          <w:tcPr>
            <w:tcW w:w="4325" w:type="dxa"/>
            <w:vAlign w:val="center"/>
          </w:tcPr>
          <w:p w14:paraId="48F0F7F5" w14:textId="77777777" w:rsidR="00EA1C3E" w:rsidRDefault="00EA1C3E">
            <w:pPr>
              <w:rPr>
                <w:rFonts w:eastAsia="Times New Roman" w:cstheme="minorHAnsi"/>
                <w:kern w:val="0"/>
                <w:lang w:val="ro-RO"/>
              </w:rPr>
            </w:pPr>
          </w:p>
        </w:tc>
      </w:tr>
      <w:tr w:rsidR="00EA1C3E" w14:paraId="201ACB47" w14:textId="77777777">
        <w:trPr>
          <w:trHeight w:val="593"/>
        </w:trPr>
        <w:tc>
          <w:tcPr>
            <w:tcW w:w="2714" w:type="dxa"/>
            <w:vMerge/>
            <w:vAlign w:val="center"/>
          </w:tcPr>
          <w:p w14:paraId="4F124CFF" w14:textId="77777777" w:rsidR="00EA1C3E" w:rsidRDefault="00EA1C3E">
            <w:pPr>
              <w:jc w:val="center"/>
              <w:rPr>
                <w:rFonts w:eastAsia="Times New Roman" w:cstheme="minorHAnsi"/>
                <w:kern w:val="0"/>
                <w:lang w:val="ro-RO"/>
              </w:rPr>
            </w:pPr>
          </w:p>
        </w:tc>
        <w:tc>
          <w:tcPr>
            <w:tcW w:w="1529" w:type="dxa"/>
            <w:vAlign w:val="center"/>
          </w:tcPr>
          <w:p w14:paraId="0C20C49B" w14:textId="77777777" w:rsidR="00EA1C3E" w:rsidRDefault="006218C0">
            <w:pPr>
              <w:jc w:val="center"/>
              <w:rPr>
                <w:rFonts w:cstheme="minorHAnsi"/>
              </w:rPr>
            </w:pPr>
            <w:r>
              <w:t>..</w:t>
            </w:r>
          </w:p>
        </w:tc>
        <w:tc>
          <w:tcPr>
            <w:tcW w:w="989" w:type="dxa"/>
            <w:vAlign w:val="center"/>
          </w:tcPr>
          <w:p w14:paraId="60232C59" w14:textId="77777777" w:rsidR="00EA1C3E" w:rsidRDefault="00EA1C3E">
            <w:pPr>
              <w:jc w:val="center"/>
              <w:rPr>
                <w:rFonts w:eastAsia="Times New Roman" w:cstheme="minorHAnsi"/>
                <w:kern w:val="0"/>
                <w:lang w:val="ro-RO"/>
              </w:rPr>
            </w:pPr>
          </w:p>
        </w:tc>
        <w:tc>
          <w:tcPr>
            <w:tcW w:w="4325" w:type="dxa"/>
            <w:vAlign w:val="center"/>
          </w:tcPr>
          <w:p w14:paraId="40693B75" w14:textId="77777777" w:rsidR="00EA1C3E" w:rsidRDefault="00EA1C3E">
            <w:pPr>
              <w:rPr>
                <w:rFonts w:eastAsia="Times New Roman" w:cstheme="minorHAnsi"/>
                <w:kern w:val="0"/>
                <w:lang w:val="ro-RO"/>
              </w:rPr>
            </w:pPr>
          </w:p>
        </w:tc>
      </w:tr>
      <w:tr w:rsidR="00EA1C3E" w14:paraId="1E8F7AA8" w14:textId="77777777">
        <w:tc>
          <w:tcPr>
            <w:tcW w:w="4244" w:type="dxa"/>
            <w:gridSpan w:val="2"/>
            <w:vAlign w:val="center"/>
          </w:tcPr>
          <w:p w14:paraId="3EF5191E" w14:textId="77777777" w:rsidR="00EA1C3E" w:rsidRDefault="006218C0">
            <w:pPr>
              <w:jc w:val="center"/>
              <w:rPr>
                <w:rFonts w:cstheme="minorHAnsi"/>
              </w:rPr>
            </w:pPr>
            <w:r>
              <w:t>TOTAL</w:t>
            </w:r>
          </w:p>
        </w:tc>
        <w:tc>
          <w:tcPr>
            <w:tcW w:w="989" w:type="dxa"/>
            <w:vAlign w:val="center"/>
          </w:tcPr>
          <w:p w14:paraId="5BD161D3" w14:textId="77777777" w:rsidR="00EA1C3E" w:rsidRDefault="00EA1C3E">
            <w:pPr>
              <w:jc w:val="center"/>
              <w:rPr>
                <w:rFonts w:eastAsia="Times New Roman" w:cstheme="minorHAnsi"/>
                <w:kern w:val="0"/>
                <w:lang w:val="ro-RO"/>
              </w:rPr>
            </w:pPr>
          </w:p>
        </w:tc>
        <w:tc>
          <w:tcPr>
            <w:tcW w:w="4324" w:type="dxa"/>
            <w:tcBorders>
              <w:top w:val="nil"/>
              <w:left w:val="nil"/>
              <w:bottom w:val="nil"/>
              <w:right w:val="nil"/>
            </w:tcBorders>
          </w:tcPr>
          <w:p w14:paraId="0AA2B1E6" w14:textId="77777777" w:rsidR="00EA1C3E" w:rsidRDefault="00EA1C3E">
            <w:pPr>
              <w:rPr>
                <w:rFonts w:ascii="Times New Roman" w:eastAsia="Times New Roman" w:hAnsi="Times New Roman" w:cs="Times New Roman"/>
                <w:kern w:val="0"/>
                <w:sz w:val="20"/>
                <w14:ligatures w14:val="none"/>
              </w:rPr>
            </w:pPr>
          </w:p>
        </w:tc>
      </w:tr>
    </w:tbl>
    <w:p w14:paraId="09B02D55" w14:textId="77777777" w:rsidR="00EA1C3E" w:rsidRDefault="00EA1C3E">
      <w:pPr>
        <w:shd w:val="clear" w:color="auto" w:fill="FFFFFF"/>
        <w:spacing w:line="276" w:lineRule="auto"/>
        <w:jc w:val="both"/>
        <w:rPr>
          <w:rFonts w:eastAsia="Times New Roman" w:cstheme="minorHAnsi"/>
          <w:sz w:val="24"/>
          <w:szCs w:val="24"/>
          <w:highlight w:val="yellow"/>
          <w:lang w:val="ro-RO"/>
        </w:rPr>
      </w:pPr>
    </w:p>
    <w:p w14:paraId="1D55FA56" w14:textId="77777777" w:rsidR="00E92629" w:rsidRDefault="006218C0">
      <w:pPr>
        <w:spacing w:line="276" w:lineRule="auto"/>
        <w:jc w:val="both"/>
        <w:rPr>
          <w:rFonts w:cstheme="minorHAnsi"/>
          <w:b/>
          <w:bCs/>
          <w:sz w:val="24"/>
          <w:szCs w:val="24"/>
        </w:rPr>
      </w:pPr>
      <w:r>
        <w:rPr>
          <w:b/>
          <w:bCs/>
          <w:sz w:val="24"/>
          <w:szCs w:val="24"/>
        </w:rPr>
        <w:t xml:space="preserve">              </w:t>
      </w:r>
    </w:p>
    <w:sectPr w:rsidR="00E92629">
      <w:footerReference w:type="default" r:id="rId8"/>
      <w:pgSz w:w="11906" w:h="16838"/>
      <w:pgMar w:top="1440" w:right="1440" w:bottom="1260" w:left="1440" w:header="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AA90" w14:textId="77777777" w:rsidR="00AA64A6" w:rsidRDefault="00AA64A6">
      <w:r>
        <w:separator/>
      </w:r>
    </w:p>
  </w:endnote>
  <w:endnote w:type="continuationSeparator" w:id="0">
    <w:p w14:paraId="32B951E1" w14:textId="77777777" w:rsidR="00AA64A6" w:rsidRDefault="00AA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328171"/>
      <w:docPartObj>
        <w:docPartGallery w:val="Page Numbers (Bottom of Page)"/>
        <w:docPartUnique/>
      </w:docPartObj>
    </w:sdtPr>
    <w:sdtContent>
      <w:p w14:paraId="08FC97D0" w14:textId="77777777" w:rsidR="00EA1C3E" w:rsidRDefault="006218C0">
        <w:pPr>
          <w:pStyle w:val="Footer"/>
          <w:jc w:val="center"/>
        </w:pPr>
        <w:r>
          <w:fldChar w:fldCharType="begin"/>
        </w:r>
        <w:r>
          <w:instrText>PAGE</w:instrText>
        </w:r>
        <w:r>
          <w:fldChar w:fldCharType="separate"/>
        </w:r>
        <w:r w:rsidR="00ED19A4">
          <w:t>2</w:t>
        </w:r>
        <w:r>
          <w:fldChar w:fldCharType="end"/>
        </w:r>
      </w:p>
    </w:sdtContent>
  </w:sdt>
  <w:p w14:paraId="5D58BCE2" w14:textId="77777777" w:rsidR="00EA1C3E" w:rsidRDefault="00EA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94C2" w14:textId="77777777" w:rsidR="00AA64A6" w:rsidRDefault="00AA64A6">
      <w:r>
        <w:separator/>
      </w:r>
    </w:p>
  </w:footnote>
  <w:footnote w:type="continuationSeparator" w:id="0">
    <w:p w14:paraId="77DFBD8E" w14:textId="77777777" w:rsidR="00AA64A6" w:rsidRDefault="00AA6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207"/>
    <w:multiLevelType w:val="multilevel"/>
    <w:tmpl w:val="8D9C3DE4"/>
    <w:lvl w:ilvl="0">
      <w:start w:val="1"/>
      <w:numFmt w:val="lowerRoman"/>
      <w:lvlText w:val="%1."/>
      <w:lvlJc w:val="left"/>
      <w:pPr>
        <w:ind w:left="720" w:hanging="360"/>
      </w:pPr>
      <w:rPr>
        <w:rFonts w:eastAsia="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D546F"/>
    <w:multiLevelType w:val="multilevel"/>
    <w:tmpl w:val="E3F831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D67FC"/>
    <w:multiLevelType w:val="multilevel"/>
    <w:tmpl w:val="EC5C417E"/>
    <w:lvl w:ilvl="0">
      <w:start w:val="1"/>
      <w:numFmt w:val="decimal"/>
      <w:lvlText w:val="(%1)"/>
      <w:lvlJc w:val="lef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B108A"/>
    <w:multiLevelType w:val="multilevel"/>
    <w:tmpl w:val="56824C0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E8774B"/>
    <w:multiLevelType w:val="multilevel"/>
    <w:tmpl w:val="761A3B7A"/>
    <w:lvl w:ilvl="0">
      <w:start w:val="1"/>
      <w:numFmt w:val="lowerRoman"/>
      <w:lvlText w:val="%1."/>
      <w:lvlJc w:val="left"/>
      <w:pPr>
        <w:ind w:left="1080" w:hanging="360"/>
      </w:pPr>
      <w:rPr>
        <w:rFonts w:eastAsia="Calibri" w:cs="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EC059B"/>
    <w:multiLevelType w:val="multilevel"/>
    <w:tmpl w:val="864EEB64"/>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F400A9F"/>
    <w:multiLevelType w:val="multilevel"/>
    <w:tmpl w:val="70F00B08"/>
    <w:lvl w:ilvl="0">
      <w:start w:val="4"/>
      <w:numFmt w:val="decimal"/>
      <w:lvlText w:val="%1."/>
      <w:lvlJc w:val="left"/>
      <w:pPr>
        <w:ind w:left="360" w:hanging="360"/>
      </w:pPr>
      <w:rPr>
        <w:rFonts w:asciiTheme="minorHAnsi" w:hAnsiTheme="minorHAnsi" w:hint="default"/>
      </w:rPr>
    </w:lvl>
    <w:lvl w:ilvl="1">
      <w:start w:val="5"/>
      <w:numFmt w:val="decimal"/>
      <w:lvlText w:val="%1.%2."/>
      <w:lvlJc w:val="left"/>
      <w:pPr>
        <w:ind w:left="1080" w:hanging="360"/>
      </w:pPr>
      <w:rPr>
        <w:rFonts w:asciiTheme="minorHAnsi" w:hAnsiTheme="minorHAnsi"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2880" w:hanging="720"/>
      </w:pPr>
      <w:rPr>
        <w:rFonts w:asciiTheme="minorHAnsi" w:hAnsiTheme="minorHAnsi" w:hint="default"/>
      </w:rPr>
    </w:lvl>
    <w:lvl w:ilvl="4">
      <w:start w:val="1"/>
      <w:numFmt w:val="decimal"/>
      <w:lvlText w:val="%1.%2.%3.%4.%5."/>
      <w:lvlJc w:val="left"/>
      <w:pPr>
        <w:ind w:left="3960" w:hanging="1080"/>
      </w:pPr>
      <w:rPr>
        <w:rFonts w:asciiTheme="minorHAnsi" w:hAnsiTheme="minorHAnsi" w:hint="default"/>
      </w:rPr>
    </w:lvl>
    <w:lvl w:ilvl="5">
      <w:start w:val="1"/>
      <w:numFmt w:val="decimal"/>
      <w:lvlText w:val="%1.%2.%3.%4.%5.%6."/>
      <w:lvlJc w:val="left"/>
      <w:pPr>
        <w:ind w:left="4680" w:hanging="108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480" w:hanging="144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7" w15:restartNumberingAfterBreak="0">
    <w:nsid w:val="22C06315"/>
    <w:multiLevelType w:val="multilevel"/>
    <w:tmpl w:val="DF4030CA"/>
    <w:lvl w:ilvl="0">
      <w:start w:val="1"/>
      <w:numFmt w:val="lowerRoman"/>
      <w:lvlText w:val="%1)"/>
      <w:lvlJc w:val="left"/>
      <w:pPr>
        <w:ind w:left="1960" w:hanging="72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8" w15:restartNumberingAfterBreak="0">
    <w:nsid w:val="28521D7A"/>
    <w:multiLevelType w:val="multilevel"/>
    <w:tmpl w:val="058E8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2C70D9"/>
    <w:multiLevelType w:val="multilevel"/>
    <w:tmpl w:val="F32EC7A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DE42218"/>
    <w:multiLevelType w:val="multilevel"/>
    <w:tmpl w:val="518844D6"/>
    <w:lvl w:ilvl="0">
      <w:start w:val="1"/>
      <w:numFmt w:val="decimal"/>
      <w:lvlText w:val="(%1)"/>
      <w:lvlJc w:val="left"/>
      <w:pPr>
        <w:ind w:left="1080" w:hanging="360"/>
      </w:pPr>
      <w:rPr>
        <w:rFonts w:eastAsia="Calibri" w:cs="Calibri"/>
        <w:b/>
        <w:i w:val="0"/>
        <w:sz w:val="24"/>
      </w:r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1" w15:restartNumberingAfterBreak="0">
    <w:nsid w:val="42917426"/>
    <w:multiLevelType w:val="multilevel"/>
    <w:tmpl w:val="6902EC0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D72D6B"/>
    <w:multiLevelType w:val="multilevel"/>
    <w:tmpl w:val="3294BC7A"/>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BF10647"/>
    <w:multiLevelType w:val="multilevel"/>
    <w:tmpl w:val="176CD3D6"/>
    <w:lvl w:ilvl="0">
      <w:start w:val="2"/>
      <w:numFmt w:val="low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4" w15:restartNumberingAfterBreak="0">
    <w:nsid w:val="5CFA21DE"/>
    <w:multiLevelType w:val="multilevel"/>
    <w:tmpl w:val="DF60EF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F9E0A1F"/>
    <w:multiLevelType w:val="multilevel"/>
    <w:tmpl w:val="E24C0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D26EA9"/>
    <w:multiLevelType w:val="multilevel"/>
    <w:tmpl w:val="37E01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436C13"/>
    <w:multiLevelType w:val="multilevel"/>
    <w:tmpl w:val="ADC269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C3163D"/>
    <w:multiLevelType w:val="multilevel"/>
    <w:tmpl w:val="897CC8D8"/>
    <w:lvl w:ilvl="0">
      <w:start w:val="1"/>
      <w:numFmt w:val="decimal"/>
      <w:lvlText w:val="(%1)"/>
      <w:lvlJc w:val="left"/>
      <w:pPr>
        <w:ind w:left="730" w:hanging="370"/>
      </w:pPr>
      <w:rPr>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F96736"/>
    <w:multiLevelType w:val="multilevel"/>
    <w:tmpl w:val="8AB0F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E83EE6"/>
    <w:multiLevelType w:val="multilevel"/>
    <w:tmpl w:val="9F3C6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FC7B59"/>
    <w:multiLevelType w:val="multilevel"/>
    <w:tmpl w:val="034CF8B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8780816">
    <w:abstractNumId w:val="9"/>
  </w:num>
  <w:num w:numId="2" w16cid:durableId="997148872">
    <w:abstractNumId w:val="3"/>
  </w:num>
  <w:num w:numId="3" w16cid:durableId="1613590681">
    <w:abstractNumId w:val="19"/>
  </w:num>
  <w:num w:numId="4" w16cid:durableId="600531808">
    <w:abstractNumId w:val="17"/>
  </w:num>
  <w:num w:numId="5" w16cid:durableId="412898770">
    <w:abstractNumId w:val="4"/>
  </w:num>
  <w:num w:numId="6" w16cid:durableId="957833405">
    <w:abstractNumId w:val="1"/>
  </w:num>
  <w:num w:numId="7" w16cid:durableId="265773589">
    <w:abstractNumId w:val="8"/>
  </w:num>
  <w:num w:numId="8" w16cid:durableId="524633502">
    <w:abstractNumId w:val="0"/>
  </w:num>
  <w:num w:numId="9" w16cid:durableId="1192963219">
    <w:abstractNumId w:val="5"/>
  </w:num>
  <w:num w:numId="10" w16cid:durableId="799147337">
    <w:abstractNumId w:val="7"/>
  </w:num>
  <w:num w:numId="11" w16cid:durableId="1766999956">
    <w:abstractNumId w:val="10"/>
  </w:num>
  <w:num w:numId="12" w16cid:durableId="387144955">
    <w:abstractNumId w:val="12"/>
  </w:num>
  <w:num w:numId="13" w16cid:durableId="211039896">
    <w:abstractNumId w:val="16"/>
  </w:num>
  <w:num w:numId="14" w16cid:durableId="1758013314">
    <w:abstractNumId w:val="2"/>
  </w:num>
  <w:num w:numId="15" w16cid:durableId="1794402264">
    <w:abstractNumId w:val="18"/>
  </w:num>
  <w:num w:numId="16" w16cid:durableId="295457168">
    <w:abstractNumId w:val="15"/>
  </w:num>
  <w:num w:numId="17" w16cid:durableId="1445923346">
    <w:abstractNumId w:val="20"/>
  </w:num>
  <w:num w:numId="18" w16cid:durableId="1969164323">
    <w:abstractNumId w:val="11"/>
  </w:num>
  <w:num w:numId="19" w16cid:durableId="1138573707">
    <w:abstractNumId w:val="13"/>
  </w:num>
  <w:num w:numId="20" w16cid:durableId="242952478">
    <w:abstractNumId w:val="21"/>
  </w:num>
  <w:num w:numId="21" w16cid:durableId="1771469413">
    <w:abstractNumId w:val="14"/>
  </w:num>
  <w:num w:numId="22" w16cid:durableId="923883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3E"/>
    <w:rsid w:val="00056DE8"/>
    <w:rsid w:val="00056F56"/>
    <w:rsid w:val="00063850"/>
    <w:rsid w:val="00065882"/>
    <w:rsid w:val="000B6B41"/>
    <w:rsid w:val="00143AE2"/>
    <w:rsid w:val="001668A8"/>
    <w:rsid w:val="001B14FF"/>
    <w:rsid w:val="002076C9"/>
    <w:rsid w:val="002676C1"/>
    <w:rsid w:val="002714E3"/>
    <w:rsid w:val="00282426"/>
    <w:rsid w:val="002B6972"/>
    <w:rsid w:val="002C533B"/>
    <w:rsid w:val="002E6CDD"/>
    <w:rsid w:val="003349B3"/>
    <w:rsid w:val="003443EC"/>
    <w:rsid w:val="00370B40"/>
    <w:rsid w:val="003A552E"/>
    <w:rsid w:val="003B6E12"/>
    <w:rsid w:val="003E1A06"/>
    <w:rsid w:val="00457897"/>
    <w:rsid w:val="004A6D94"/>
    <w:rsid w:val="004D55D2"/>
    <w:rsid w:val="004F141B"/>
    <w:rsid w:val="00510F6B"/>
    <w:rsid w:val="00530AF4"/>
    <w:rsid w:val="00582E67"/>
    <w:rsid w:val="005F7C43"/>
    <w:rsid w:val="00604E03"/>
    <w:rsid w:val="00616D9E"/>
    <w:rsid w:val="006218C0"/>
    <w:rsid w:val="0063605F"/>
    <w:rsid w:val="00657ADE"/>
    <w:rsid w:val="0066169F"/>
    <w:rsid w:val="006F55E5"/>
    <w:rsid w:val="00713165"/>
    <w:rsid w:val="007912F9"/>
    <w:rsid w:val="00794760"/>
    <w:rsid w:val="007A3C82"/>
    <w:rsid w:val="007B2EC3"/>
    <w:rsid w:val="007D5724"/>
    <w:rsid w:val="007F287E"/>
    <w:rsid w:val="00837758"/>
    <w:rsid w:val="0085449D"/>
    <w:rsid w:val="00872F25"/>
    <w:rsid w:val="009A6E61"/>
    <w:rsid w:val="00A21C09"/>
    <w:rsid w:val="00A406D7"/>
    <w:rsid w:val="00AA64A6"/>
    <w:rsid w:val="00AB3D8C"/>
    <w:rsid w:val="00AB7126"/>
    <w:rsid w:val="00AE363F"/>
    <w:rsid w:val="00B837A0"/>
    <w:rsid w:val="00C66D9A"/>
    <w:rsid w:val="00CD0250"/>
    <w:rsid w:val="00CF7798"/>
    <w:rsid w:val="00D04329"/>
    <w:rsid w:val="00D20DEE"/>
    <w:rsid w:val="00D241A4"/>
    <w:rsid w:val="00D978C0"/>
    <w:rsid w:val="00E6206E"/>
    <w:rsid w:val="00E92629"/>
    <w:rsid w:val="00EA1C3E"/>
    <w:rsid w:val="00ED19A4"/>
    <w:rsid w:val="00EE06D1"/>
    <w:rsid w:val="00F44BB3"/>
    <w:rsid w:val="00F82B32"/>
    <w:rsid w:val="00FF4D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2F09"/>
  <w15:docId w15:val="{D69ECA31-48EE-4AA7-835F-095B3371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rPr>
      <w:sz w:val="22"/>
    </w:rPr>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B91352"/>
    <w:rPr>
      <w:sz w:val="16"/>
      <w:szCs w:val="16"/>
    </w:rPr>
  </w:style>
  <w:style w:type="character" w:customStyle="1" w:styleId="CommentTextChar">
    <w:name w:val="Comment Text Char"/>
    <w:basedOn w:val="DefaultParagraphFont"/>
    <w:link w:val="CommentText"/>
    <w:uiPriority w:val="99"/>
    <w:semiHidden/>
    <w:qFormat/>
    <w:rsid w:val="00B91352"/>
    <w:rPr>
      <w:sz w:val="20"/>
      <w:szCs w:val="20"/>
    </w:rPr>
  </w:style>
  <w:style w:type="character" w:customStyle="1" w:styleId="InternetLink">
    <w:name w:val="Internet Link"/>
    <w:basedOn w:val="DefaultParagraphFont"/>
    <w:uiPriority w:val="99"/>
    <w:unhideWhenUsed/>
    <w:rsid w:val="00F245A1"/>
    <w:rPr>
      <w:color w:val="0563C1" w:themeColor="hyperlink"/>
      <w:u w:val="single"/>
    </w:rPr>
  </w:style>
  <w:style w:type="character" w:customStyle="1" w:styleId="CommentSubjectChar">
    <w:name w:val="Comment Subject Char"/>
    <w:basedOn w:val="CommentTextChar"/>
    <w:link w:val="CommentSubject"/>
    <w:uiPriority w:val="99"/>
    <w:semiHidden/>
    <w:qFormat/>
    <w:rsid w:val="008F7063"/>
    <w:rPr>
      <w:b/>
      <w:bCs/>
      <w:sz w:val="20"/>
      <w:szCs w:val="20"/>
    </w:rPr>
  </w:style>
  <w:style w:type="character" w:customStyle="1" w:styleId="BalloonTextChar">
    <w:name w:val="Balloon Text Char"/>
    <w:basedOn w:val="DefaultParagraphFont"/>
    <w:link w:val="BalloonText"/>
    <w:uiPriority w:val="99"/>
    <w:semiHidden/>
    <w:qFormat/>
    <w:rsid w:val="00A55088"/>
    <w:rPr>
      <w:rFonts w:ascii="Segoe UI" w:hAnsi="Segoe UI" w:cs="Segoe UI"/>
      <w:sz w:val="18"/>
      <w:szCs w:val="18"/>
    </w:rPr>
  </w:style>
  <w:style w:type="character" w:customStyle="1" w:styleId="HeaderChar">
    <w:name w:val="Header Char"/>
    <w:basedOn w:val="DefaultParagraphFont"/>
    <w:link w:val="Header"/>
    <w:uiPriority w:val="99"/>
    <w:qFormat/>
    <w:rsid w:val="00A908FF"/>
    <w:rPr>
      <w:sz w:val="22"/>
    </w:rPr>
  </w:style>
  <w:style w:type="character" w:customStyle="1" w:styleId="FooterChar">
    <w:name w:val="Footer Char"/>
    <w:basedOn w:val="DefaultParagraphFont"/>
    <w:link w:val="Footer"/>
    <w:uiPriority w:val="99"/>
    <w:qFormat/>
    <w:rsid w:val="00A908FF"/>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rPr>
      <w:sz w:val="22"/>
    </w:rPr>
  </w:style>
  <w:style w:type="paragraph" w:styleId="CommentText">
    <w:name w:val="annotation text"/>
    <w:basedOn w:val="Normal"/>
    <w:link w:val="CommentTextChar"/>
    <w:uiPriority w:val="99"/>
    <w:semiHidden/>
    <w:unhideWhenUsed/>
    <w:qFormat/>
    <w:rsid w:val="00B91352"/>
    <w:pPr>
      <w:spacing w:after="160"/>
    </w:pPr>
    <w:rPr>
      <w:sz w:val="20"/>
      <w:szCs w:val="20"/>
    </w:rPr>
  </w:style>
  <w:style w:type="paragraph" w:styleId="CommentSubject">
    <w:name w:val="annotation subject"/>
    <w:basedOn w:val="CommentText"/>
    <w:next w:val="CommentText"/>
    <w:link w:val="CommentSubjectChar"/>
    <w:uiPriority w:val="99"/>
    <w:semiHidden/>
    <w:unhideWhenUsed/>
    <w:qFormat/>
    <w:rsid w:val="008F7063"/>
    <w:pPr>
      <w:spacing w:after="0"/>
    </w:pPr>
    <w:rPr>
      <w:b/>
      <w:bCs/>
    </w:rPr>
  </w:style>
  <w:style w:type="paragraph" w:styleId="BalloonText">
    <w:name w:val="Balloon Text"/>
    <w:basedOn w:val="Normal"/>
    <w:link w:val="BalloonTextChar"/>
    <w:uiPriority w:val="99"/>
    <w:semiHidden/>
    <w:unhideWhenUsed/>
    <w:qFormat/>
    <w:rsid w:val="00A55088"/>
    <w:rPr>
      <w:rFonts w:ascii="Segoe UI" w:hAnsi="Segoe UI" w:cs="Segoe UI"/>
      <w:sz w:val="18"/>
      <w:szCs w:val="18"/>
    </w:rPr>
  </w:style>
  <w:style w:type="paragraph" w:customStyle="1" w:styleId="Standard">
    <w:name w:val="Standard"/>
    <w:qFormat/>
    <w:rsid w:val="00F245A1"/>
    <w:pPr>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908FF"/>
    <w:pPr>
      <w:tabs>
        <w:tab w:val="center" w:pos="4680"/>
        <w:tab w:val="right" w:pos="9360"/>
      </w:tabs>
    </w:pPr>
  </w:style>
  <w:style w:type="paragraph" w:styleId="Footer">
    <w:name w:val="footer"/>
    <w:basedOn w:val="Normal"/>
    <w:link w:val="FooterChar"/>
    <w:uiPriority w:val="99"/>
    <w:unhideWhenUsed/>
    <w:rsid w:val="00A908FF"/>
    <w:pPr>
      <w:tabs>
        <w:tab w:val="center" w:pos="4680"/>
        <w:tab w:val="right" w:pos="9360"/>
      </w:tabs>
    </w:pPr>
  </w:style>
  <w:style w:type="paragraph" w:customStyle="1" w:styleId="TableContents">
    <w:name w:val="Table Contents"/>
    <w:basedOn w:val="Normal"/>
    <w:qFormat/>
    <w:rsid w:val="00DF2E3B"/>
    <w:pPr>
      <w:suppressLineNumbers/>
      <w:spacing w:after="160" w:line="276" w:lineRule="auto"/>
    </w:pPr>
    <w:rPr>
      <w:sz w:val="24"/>
      <w:szCs w:val="24"/>
    </w:rPr>
  </w:style>
  <w:style w:type="table" w:styleId="TableGrid">
    <w:name w:val="Table Grid"/>
    <w:basedOn w:val="TableNormal"/>
    <w:uiPriority w:val="39"/>
    <w:rsid w:val="004A07DE"/>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genfact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Roxana Harabagiu</cp:lastModifiedBy>
  <cp:revision>2</cp:revision>
  <dcterms:created xsi:type="dcterms:W3CDTF">2025-10-14T15:13:00Z</dcterms:created>
  <dcterms:modified xsi:type="dcterms:W3CDTF">2025-10-14T15:13:00Z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